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электронных торгов (практикум)</w:t>
            </w:r>
          </w:p>
          <w:p>
            <w:pPr>
              <w:jc w:val="center"/>
              <w:spacing w:after="0" w:line="240" w:lineRule="auto"/>
              <w:rPr>
                <w:sz w:val="32"/>
                <w:szCs w:val="32"/>
              </w:rPr>
            </w:pPr>
            <w:r>
              <w:rPr>
                <w:rFonts w:ascii="Times New Roman" w:hAnsi="Times New Roman" w:cs="Times New Roman"/>
                <w:color w:val="#000000"/>
                <w:sz w:val="32"/>
                <w:szCs w:val="32"/>
              </w:rPr>
              <w:t> К.М.02.04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электронных торгов (практикум)»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55.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396.35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К.М.02.04 «Организация электронных торгов (практикум)».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электронных торгов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процедуру закупок</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регламенты работы электронных торговых площадок</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организовывать и контролировать разработку проектов контрактов, типовых условий контрактов заказчика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выбора способа определения поставщика (подрядчика, исполнителя)</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К.М.02.04 «Организация электронных торгов (практикум)» относится к обязательной части, является дисциплиной Блока Б1. «Дисциплины (модули)». Модуль "Организация процедуры закупки"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Договорная работа в сфере закупок</w:t>
            </w:r>
          </w:p>
          <w:p>
            <w:pPr>
              <w:jc w:val="center"/>
              <w:spacing w:after="0" w:line="240" w:lineRule="auto"/>
              <w:rPr>
                <w:sz w:val="22"/>
                <w:szCs w:val="22"/>
              </w:rPr>
            </w:pPr>
            <w:r>
              <w:rPr>
                <w:rFonts w:ascii="Times New Roman" w:hAnsi="Times New Roman" w:cs="Times New Roman"/>
                <w:color w:val="#000000"/>
                <w:sz w:val="22"/>
                <w:szCs w:val="22"/>
              </w:rPr>
              <w:t> Организация  проведения тендеров (практикум)</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качеством закупок</w:t>
            </w:r>
          </w:p>
          <w:p>
            <w:pPr>
              <w:jc w:val="center"/>
              <w:spacing w:after="0" w:line="240" w:lineRule="auto"/>
              <w:rPr>
                <w:sz w:val="22"/>
                <w:szCs w:val="22"/>
              </w:rPr>
            </w:pPr>
            <w:r>
              <w:rPr>
                <w:rFonts w:ascii="Times New Roman" w:hAnsi="Times New Roman" w:cs="Times New Roman"/>
                <w:color w:val="#000000"/>
                <w:sz w:val="22"/>
                <w:szCs w:val="22"/>
              </w:rPr>
              <w:t> Консалтинг в сфере закупок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создания электронных государственных закупок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торговые площадки для госзакупок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Получение Электронной Цифровой Подписи (ЭЦП) для Электронных торгов. Аккредитация на электронной площадке.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 электронных торговых площадках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Проведение электронного аукциона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4077.04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создания электронных государственных закупок в России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Электронное правительство за рубежом. Электронная коммерция за рубежом. Электронные закупки: зарубежный опыт. Интернет в России. Становление российского электронного правительства.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Электронные торговые площадки для госзакупок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электронных торговых площадок для госзакупок. Задачи, решаемые с помощью торговых площадок для госзакупок. Механизмы размещения заказов.</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Получение Электронной Цифровой Подписи (ЭЦП) для Электронных торгов. Аккредитация на электронной площадке.</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Заполнение заявки на получение Электронной Цифровой Подписи (ЭЦП) для Электронных торгов.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на электронных торговых площадках</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в ЗАО «Сбербанк –Автоматизированная Система Торгов». Работа в ОАО «Единая электронная торговая площадка». Работа в ГУП «Агентство по государственному заказу, инвестиционной деятельности и межрегиональным связям».</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Проведение электронного аукциона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организации аукциона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Российская электронная коммерция. Первые Электронные государственные закупки в России</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участникам размещения закупок при размещении закупок путем проведения аукциона в электронной форме.</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в ЗАО «ММВБ –Информационные технологии». Работа в ООО «РТС-тендер».</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процесса сопровождения аукциона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электронных торгов (практикум)» / Алексеев Н.Е..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Инновационные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коммерции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978-5-9916-2452-7.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https://urait.ru/bcode/425884</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Торговое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Каращук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https://urait.ru/bcode/447436</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Электронная</w:t>
            </w:r>
            <w:r>
              <w:rPr/>
              <w:t xml:space="preserve"> </w:t>
            </w:r>
            <w:r>
              <w:rPr>
                <w:rFonts w:ascii="Times New Roman" w:hAnsi="Times New Roman" w:cs="Times New Roman"/>
                <w:color w:val="#000000"/>
                <w:sz w:val="24"/>
                <w:szCs w:val="24"/>
              </w:rPr>
              <w:t>коммерция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978-5-534-11785-1.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https://urait.ru/bcode/450865</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механизм</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муниципальных</w:t>
            </w:r>
            <w:r>
              <w:rPr/>
              <w:t xml:space="preserve"> </w:t>
            </w:r>
            <w:r>
              <w:rPr>
                <w:rFonts w:ascii="Times New Roman" w:hAnsi="Times New Roman" w:cs="Times New Roman"/>
                <w:color w:val="#000000"/>
                <w:sz w:val="24"/>
                <w:szCs w:val="24"/>
              </w:rPr>
              <w:t>закупок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https://urait.ru/bcode/451424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75.63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3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96.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2023-2024_ФГОС3++2023_Бак-ОЗФО-ТД(ОиУЗД)(23)_plx_Организация электронных торгов (практикум)</dc:title>
  <dc:creator>FastReport.NET</dc:creator>
</cp:coreProperties>
</file>